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83AE9" w14:textId="77777777" w:rsidR="0038756C" w:rsidRPr="0038756C" w:rsidRDefault="0038756C" w:rsidP="0038756C">
      <w:pPr>
        <w:pStyle w:val="ShiftCtrlAlt"/>
        <w:rPr>
          <w:lang w:val="uk-UA"/>
        </w:rPr>
      </w:pPr>
      <w:r w:rsidRPr="0038756C">
        <w:rPr>
          <w:lang w:val="uk-UA"/>
        </w:rPr>
        <w:t xml:space="preserve">Як оцінюватимуть стоматологічний медичний </w:t>
      </w:r>
      <w:r>
        <w:rPr>
          <w:lang w:val="uk-UA"/>
        </w:rPr>
        <w:t>центр медичного університету за </w:t>
      </w:r>
      <w:r w:rsidRPr="0038756C">
        <w:rPr>
          <w:lang w:val="uk-UA"/>
        </w:rPr>
        <w:t>Стандартами</w:t>
      </w:r>
    </w:p>
    <w:p w14:paraId="0788F090" w14:textId="77777777" w:rsidR="0038756C" w:rsidRPr="0038756C" w:rsidRDefault="0038756C" w:rsidP="0038756C">
      <w:pPr>
        <w:pStyle w:val="Ctr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3623"/>
        <w:gridCol w:w="2858"/>
      </w:tblGrid>
      <w:tr w:rsidR="0038756C" w:rsidRPr="0038756C" w14:paraId="56C2FA41" w14:textId="77777777" w:rsidTr="00825B16">
        <w:tc>
          <w:tcPr>
            <w:tcW w:w="3374" w:type="dxa"/>
            <w:shd w:val="clear" w:color="auto" w:fill="00B050"/>
          </w:tcPr>
          <w:p w14:paraId="2B8177B7" w14:textId="77777777" w:rsidR="00825B16" w:rsidRDefault="00825B16" w:rsidP="00022B07">
            <w:pPr>
              <w:pStyle w:val="ShiftCtrlAlt1"/>
              <w:rPr>
                <w:lang w:val="uk-UA"/>
              </w:rPr>
            </w:pPr>
          </w:p>
          <w:p w14:paraId="20DA7230" w14:textId="77777777" w:rsidR="0038756C" w:rsidRPr="0038756C" w:rsidRDefault="0038756C" w:rsidP="00022B07">
            <w:pPr>
              <w:pStyle w:val="ShiftCtrlAlt1"/>
              <w:rPr>
                <w:lang w:val="uk-UA"/>
              </w:rPr>
            </w:pPr>
            <w:r w:rsidRPr="0038756C">
              <w:rPr>
                <w:lang w:val="uk-UA"/>
              </w:rPr>
              <w:t>Глава Стандартів</w:t>
            </w:r>
          </w:p>
          <w:p w14:paraId="775B5295" w14:textId="77777777" w:rsidR="0038756C" w:rsidRPr="0038756C" w:rsidRDefault="0038756C" w:rsidP="00022B07">
            <w:pPr>
              <w:pStyle w:val="ShiftCtrlAlt1"/>
              <w:rPr>
                <w:lang w:val="uk-UA"/>
              </w:rPr>
            </w:pPr>
          </w:p>
        </w:tc>
        <w:tc>
          <w:tcPr>
            <w:tcW w:w="3623" w:type="dxa"/>
            <w:shd w:val="clear" w:color="auto" w:fill="00B050"/>
          </w:tcPr>
          <w:p w14:paraId="057C1259" w14:textId="77777777" w:rsidR="00825B16" w:rsidRDefault="00825B16" w:rsidP="00022B07">
            <w:pPr>
              <w:pStyle w:val="ShiftCtrlAlt1"/>
              <w:rPr>
                <w:lang w:val="uk-UA"/>
              </w:rPr>
            </w:pPr>
          </w:p>
          <w:p w14:paraId="03D88952" w14:textId="77777777" w:rsidR="0038756C" w:rsidRPr="0038756C" w:rsidRDefault="0038756C" w:rsidP="00022B07">
            <w:pPr>
              <w:pStyle w:val="ShiftCtrlAlt1"/>
              <w:rPr>
                <w:lang w:val="uk-UA"/>
              </w:rPr>
            </w:pPr>
            <w:r w:rsidRPr="0038756C">
              <w:rPr>
                <w:lang w:val="uk-UA"/>
              </w:rPr>
              <w:t>Які пункти НЕ враховуватимуть</w:t>
            </w:r>
          </w:p>
        </w:tc>
        <w:tc>
          <w:tcPr>
            <w:tcW w:w="2858" w:type="dxa"/>
            <w:shd w:val="clear" w:color="auto" w:fill="00B050"/>
          </w:tcPr>
          <w:p w14:paraId="2518CFFB" w14:textId="77777777" w:rsidR="00825B16" w:rsidRDefault="00825B16" w:rsidP="00022B07">
            <w:pPr>
              <w:pStyle w:val="ShiftCtrlAlt1"/>
              <w:rPr>
                <w:lang w:val="uk-UA"/>
              </w:rPr>
            </w:pPr>
          </w:p>
          <w:p w14:paraId="43EF84B5" w14:textId="77777777" w:rsidR="0038756C" w:rsidRPr="0038756C" w:rsidRDefault="0038756C" w:rsidP="00022B07">
            <w:pPr>
              <w:pStyle w:val="ShiftCtrlAlt1"/>
              <w:rPr>
                <w:lang w:val="uk-UA"/>
              </w:rPr>
            </w:pPr>
            <w:r w:rsidRPr="0038756C">
              <w:rPr>
                <w:lang w:val="uk-UA"/>
              </w:rPr>
              <w:t>Примітки</w:t>
            </w:r>
          </w:p>
        </w:tc>
      </w:tr>
      <w:tr w:rsidR="0038756C" w:rsidRPr="0038756C" w14:paraId="56929632" w14:textId="77777777" w:rsidTr="00825B16">
        <w:tc>
          <w:tcPr>
            <w:tcW w:w="3374" w:type="dxa"/>
          </w:tcPr>
          <w:p w14:paraId="11077C0A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1. Управління закладом</w:t>
            </w:r>
            <w:r w:rsidRPr="0038756C">
              <w:rPr>
                <w:lang w:val="uk-UA"/>
              </w:rPr>
              <w:tab/>
            </w:r>
          </w:p>
          <w:p w14:paraId="672E38BD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</w:p>
        </w:tc>
        <w:tc>
          <w:tcPr>
            <w:tcW w:w="3623" w:type="dxa"/>
          </w:tcPr>
          <w:p w14:paraId="734391D5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1.2</w:t>
            </w:r>
            <w:r w:rsidR="00022B07">
              <w:rPr>
                <w:lang w:val="uk-UA"/>
              </w:rPr>
              <w:t>6</w:t>
            </w:r>
            <w:r w:rsidRPr="0038756C">
              <w:rPr>
                <w:lang w:val="uk-UA"/>
              </w:rPr>
              <w:t>—1.2</w:t>
            </w:r>
            <w:r w:rsidR="00022B07">
              <w:rPr>
                <w:lang w:val="uk-UA"/>
              </w:rPr>
              <w:t>8</w:t>
            </w:r>
            <w:r w:rsidRPr="0038756C">
              <w:rPr>
                <w:lang w:val="uk-UA"/>
              </w:rPr>
              <w:t>, 1.29.</w:t>
            </w:r>
          </w:p>
          <w:p w14:paraId="023E9D28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</w:p>
        </w:tc>
        <w:tc>
          <w:tcPr>
            <w:tcW w:w="2858" w:type="dxa"/>
          </w:tcPr>
          <w:p w14:paraId="371FB5EA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Вимогу пункту 1.28 (Наявність угоди про співпрацю з громадськими організаціями, які працюють у сфері протидії епідемії ВІЛ/СНІДу) рекомендуємо виконати, оскільки це нескладно реалізувати і дає додаткові бали</w:t>
            </w:r>
          </w:p>
        </w:tc>
      </w:tr>
      <w:tr w:rsidR="0038756C" w:rsidRPr="0038756C" w14:paraId="5FBB4FF2" w14:textId="77777777" w:rsidTr="00825B16">
        <w:tc>
          <w:tcPr>
            <w:tcW w:w="3374" w:type="dxa"/>
          </w:tcPr>
          <w:p w14:paraId="5098D1E2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 xml:space="preserve">2. Кадри </w:t>
            </w:r>
          </w:p>
          <w:p w14:paraId="11B89D27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</w:p>
        </w:tc>
        <w:tc>
          <w:tcPr>
            <w:tcW w:w="3623" w:type="dxa"/>
          </w:tcPr>
          <w:p w14:paraId="727190AB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2.13 і 2.14</w:t>
            </w:r>
          </w:p>
        </w:tc>
        <w:tc>
          <w:tcPr>
            <w:tcW w:w="2858" w:type="dxa"/>
          </w:tcPr>
          <w:p w14:paraId="09C7F679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Вимоги цих пунктів не застосовують до закладів приватної форми власності</w:t>
            </w:r>
          </w:p>
          <w:p w14:paraId="5747274B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</w:p>
        </w:tc>
      </w:tr>
      <w:tr w:rsidR="0038756C" w:rsidRPr="0038756C" w14:paraId="7A3B38F7" w14:textId="77777777" w:rsidTr="00825B16">
        <w:tc>
          <w:tcPr>
            <w:tcW w:w="3374" w:type="dxa"/>
          </w:tcPr>
          <w:p w14:paraId="2FF6DFBD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3. Управління структурним підрозділом закладу</w:t>
            </w:r>
          </w:p>
          <w:p w14:paraId="2CF233EC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</w:p>
        </w:tc>
        <w:tc>
          <w:tcPr>
            <w:tcW w:w="3623" w:type="dxa"/>
          </w:tcPr>
          <w:p w14:paraId="62BEAB8A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3.1</w:t>
            </w:r>
            <w:r w:rsidR="00022B07">
              <w:rPr>
                <w:lang w:val="uk-UA"/>
              </w:rPr>
              <w:t>1</w:t>
            </w:r>
            <w:r w:rsidRPr="0038756C">
              <w:rPr>
                <w:lang w:val="uk-UA"/>
              </w:rPr>
              <w:t>—3.12, 3.14, 3.15, 3.17</w:t>
            </w:r>
          </w:p>
        </w:tc>
        <w:tc>
          <w:tcPr>
            <w:tcW w:w="2858" w:type="dxa"/>
          </w:tcPr>
          <w:p w14:paraId="47C7BFEC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Ці пункти стосуються структурного підрозділу закладу та його діяльності. За відсутності в складі закладу структурного підрозділу, створеного відповідно до вимог законодавства, вимоги вищевказаних пунктів не застосовують</w:t>
            </w:r>
          </w:p>
          <w:p w14:paraId="551AA510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</w:p>
        </w:tc>
      </w:tr>
      <w:tr w:rsidR="0038756C" w:rsidRPr="0038756C" w14:paraId="7285A111" w14:textId="77777777" w:rsidTr="00825B16">
        <w:tc>
          <w:tcPr>
            <w:tcW w:w="3374" w:type="dxa"/>
          </w:tcPr>
          <w:p w14:paraId="4D0559FC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4. Права, обов’язки та безпека пацієнтів</w:t>
            </w:r>
            <w:r w:rsidRPr="0038756C">
              <w:rPr>
                <w:lang w:val="uk-UA"/>
              </w:rPr>
              <w:tab/>
              <w:t xml:space="preserve"> </w:t>
            </w:r>
          </w:p>
          <w:p w14:paraId="6159F4EF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</w:p>
        </w:tc>
        <w:tc>
          <w:tcPr>
            <w:tcW w:w="3623" w:type="dxa"/>
          </w:tcPr>
          <w:p w14:paraId="53164D3D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4.18</w:t>
            </w:r>
          </w:p>
        </w:tc>
        <w:tc>
          <w:tcPr>
            <w:tcW w:w="2858" w:type="dxa"/>
          </w:tcPr>
          <w:p w14:paraId="199E03E4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Дотримання процедури одержання інформованої згоди пацієнтів про участь в експериментальних програмах не застосовують за відсутності таких програм</w:t>
            </w:r>
          </w:p>
          <w:p w14:paraId="5E07F66D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</w:p>
        </w:tc>
      </w:tr>
      <w:tr w:rsidR="0038756C" w:rsidRPr="0038756C" w14:paraId="21AC5EEC" w14:textId="77777777" w:rsidTr="00825B16">
        <w:tc>
          <w:tcPr>
            <w:tcW w:w="3374" w:type="dxa"/>
          </w:tcPr>
          <w:p w14:paraId="0B80F17B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5. Медико-інформаційна служба</w:t>
            </w:r>
            <w:r w:rsidRPr="0038756C">
              <w:rPr>
                <w:lang w:val="uk-UA"/>
              </w:rPr>
              <w:tab/>
            </w:r>
          </w:p>
          <w:p w14:paraId="6CBCA92A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</w:p>
        </w:tc>
        <w:tc>
          <w:tcPr>
            <w:tcW w:w="3623" w:type="dxa"/>
          </w:tcPr>
          <w:p w14:paraId="1CB293EA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Крім пункту 5.6</w:t>
            </w:r>
          </w:p>
        </w:tc>
        <w:tc>
          <w:tcPr>
            <w:tcW w:w="2858" w:type="dxa"/>
          </w:tcPr>
          <w:p w14:paraId="09E141F7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-</w:t>
            </w:r>
          </w:p>
        </w:tc>
      </w:tr>
      <w:tr w:rsidR="0038756C" w:rsidRPr="0038756C" w14:paraId="40DEAECF" w14:textId="77777777" w:rsidTr="00825B16">
        <w:trPr>
          <w:trHeight w:val="511"/>
        </w:trPr>
        <w:tc>
          <w:tcPr>
            <w:tcW w:w="3374" w:type="dxa"/>
            <w:vMerge w:val="restart"/>
          </w:tcPr>
          <w:p w14:paraId="6CC2546E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6. Метрологічне забезпечення</w:t>
            </w:r>
          </w:p>
        </w:tc>
        <w:tc>
          <w:tcPr>
            <w:tcW w:w="3623" w:type="dxa"/>
          </w:tcPr>
          <w:p w14:paraId="762DF1D9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6.1, 6.2</w:t>
            </w:r>
          </w:p>
        </w:tc>
        <w:tc>
          <w:tcPr>
            <w:tcW w:w="2858" w:type="dxa"/>
            <w:shd w:val="clear" w:color="auto" w:fill="auto"/>
          </w:tcPr>
          <w:p w14:paraId="5BA415A1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Не застосовують за наявності в закладі не інженера з метрології, а призначення відповідальної особи з метрологічного забезпечення</w:t>
            </w:r>
          </w:p>
        </w:tc>
      </w:tr>
      <w:tr w:rsidR="0038756C" w:rsidRPr="0038756C" w14:paraId="566AA637" w14:textId="77777777" w:rsidTr="00825B16">
        <w:trPr>
          <w:trHeight w:val="510"/>
        </w:trPr>
        <w:tc>
          <w:tcPr>
            <w:tcW w:w="3374" w:type="dxa"/>
            <w:vMerge/>
          </w:tcPr>
          <w:p w14:paraId="39E51590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</w:p>
        </w:tc>
        <w:tc>
          <w:tcPr>
            <w:tcW w:w="3623" w:type="dxa"/>
          </w:tcPr>
          <w:p w14:paraId="24791167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6.11, 6.12</w:t>
            </w:r>
          </w:p>
        </w:tc>
        <w:tc>
          <w:tcPr>
            <w:tcW w:w="2858" w:type="dxa"/>
            <w:shd w:val="clear" w:color="auto" w:fill="auto"/>
          </w:tcPr>
          <w:p w14:paraId="539D58F6" w14:textId="77777777" w:rsidR="0038756C" w:rsidRPr="0038756C" w:rsidRDefault="0038756C" w:rsidP="0038756C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38756C">
              <w:rPr>
                <w:lang w:val="uk-UA"/>
              </w:rPr>
              <w:t>е застосовують</w:t>
            </w:r>
            <w:r>
              <w:rPr>
                <w:lang w:val="uk-UA"/>
              </w:rPr>
              <w:t>,</w:t>
            </w:r>
            <w:r w:rsidRPr="0038756C">
              <w:rPr>
                <w:lang w:val="uk-UA"/>
              </w:rPr>
              <w:t xml:space="preserve"> </w:t>
            </w:r>
            <w:r>
              <w:rPr>
                <w:lang w:val="uk-UA"/>
              </w:rPr>
              <w:t>якщо</w:t>
            </w:r>
            <w:r w:rsidRPr="0038756C">
              <w:rPr>
                <w:lang w:val="uk-UA"/>
              </w:rPr>
              <w:t xml:space="preserve"> в закладі </w:t>
            </w:r>
            <w:r>
              <w:rPr>
                <w:lang w:val="uk-UA"/>
              </w:rPr>
              <w:t xml:space="preserve">немає </w:t>
            </w:r>
            <w:r w:rsidRPr="0038756C">
              <w:rPr>
                <w:lang w:val="uk-UA"/>
              </w:rPr>
              <w:t>вимірювальних лабораторій</w:t>
            </w:r>
          </w:p>
        </w:tc>
      </w:tr>
      <w:tr w:rsidR="0038756C" w:rsidRPr="0038756C" w14:paraId="51E1B84C" w14:textId="77777777" w:rsidTr="00825B16">
        <w:trPr>
          <w:trHeight w:val="510"/>
        </w:trPr>
        <w:tc>
          <w:tcPr>
            <w:tcW w:w="3374" w:type="dxa"/>
          </w:tcPr>
          <w:p w14:paraId="54776572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 xml:space="preserve">7. </w:t>
            </w:r>
            <w:r w:rsidR="00022B07" w:rsidRPr="00022B07">
              <w:rPr>
                <w:lang w:val="uk-UA"/>
              </w:rPr>
              <w:t>Профілактика інфекцій та інфекційний контроль</w:t>
            </w:r>
          </w:p>
        </w:tc>
        <w:tc>
          <w:tcPr>
            <w:tcW w:w="3623" w:type="dxa"/>
          </w:tcPr>
          <w:p w14:paraId="037B9B9D" w14:textId="77777777" w:rsidR="00802DA4" w:rsidRDefault="0038756C" w:rsidP="00802DA4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7.</w:t>
            </w:r>
            <w:r w:rsidR="00022B07">
              <w:rPr>
                <w:lang w:val="uk-UA"/>
              </w:rPr>
              <w:t>2, 7.3, 7.8</w:t>
            </w:r>
            <w:r w:rsidR="00802DA4">
              <w:rPr>
                <w:lang w:val="uk-UA"/>
              </w:rPr>
              <w:t>, 7.12-7.14,</w:t>
            </w:r>
            <w:r w:rsidRPr="0038756C">
              <w:rPr>
                <w:lang w:val="uk-UA"/>
              </w:rPr>
              <w:t xml:space="preserve"> 7.1</w:t>
            </w:r>
            <w:r w:rsidR="00802DA4">
              <w:rPr>
                <w:lang w:val="uk-UA"/>
              </w:rPr>
              <w:t>6</w:t>
            </w:r>
            <w:r w:rsidRPr="0038756C">
              <w:rPr>
                <w:lang w:val="uk-UA"/>
              </w:rPr>
              <w:t>,</w:t>
            </w:r>
            <w:r w:rsidR="00802DA4">
              <w:rPr>
                <w:lang w:val="uk-UA"/>
              </w:rPr>
              <w:t>7.21,7.24</w:t>
            </w:r>
          </w:p>
          <w:p w14:paraId="380D774E" w14:textId="77777777" w:rsidR="0038756C" w:rsidRPr="0038756C" w:rsidRDefault="0038756C" w:rsidP="00802DA4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 xml:space="preserve"> 7.</w:t>
            </w:r>
            <w:r w:rsidR="00802DA4">
              <w:rPr>
                <w:lang w:val="uk-UA"/>
              </w:rPr>
              <w:t>26, 7.30,</w:t>
            </w:r>
            <w:r w:rsidRPr="0038756C">
              <w:rPr>
                <w:lang w:val="uk-UA"/>
              </w:rPr>
              <w:t>7.</w:t>
            </w:r>
            <w:r w:rsidR="00802DA4">
              <w:rPr>
                <w:lang w:val="uk-UA"/>
              </w:rPr>
              <w:t>3</w:t>
            </w:r>
            <w:r w:rsidRPr="0038756C">
              <w:rPr>
                <w:lang w:val="uk-UA"/>
              </w:rPr>
              <w:t>1</w:t>
            </w:r>
            <w:r w:rsidR="00802DA4">
              <w:rPr>
                <w:lang w:val="uk-UA"/>
              </w:rPr>
              <w:t>,7.34,7.40-7.52,7.58-7.61,7.65</w:t>
            </w:r>
            <w:r w:rsidR="00DB4E38">
              <w:rPr>
                <w:lang w:val="uk-UA"/>
              </w:rPr>
              <w:t>,7.67,7.73</w:t>
            </w:r>
          </w:p>
        </w:tc>
        <w:tc>
          <w:tcPr>
            <w:tcW w:w="2858" w:type="dxa"/>
            <w:shd w:val="clear" w:color="auto" w:fill="auto"/>
          </w:tcPr>
          <w:p w14:paraId="77A6B7AF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-</w:t>
            </w:r>
          </w:p>
        </w:tc>
      </w:tr>
      <w:tr w:rsidR="0038756C" w:rsidRPr="0038756C" w14:paraId="2BD520EA" w14:textId="77777777" w:rsidTr="00825B16">
        <w:trPr>
          <w:trHeight w:val="510"/>
        </w:trPr>
        <w:tc>
          <w:tcPr>
            <w:tcW w:w="3374" w:type="dxa"/>
          </w:tcPr>
          <w:p w14:paraId="5B682209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8. Охорона праці</w:t>
            </w:r>
          </w:p>
        </w:tc>
        <w:tc>
          <w:tcPr>
            <w:tcW w:w="3623" w:type="dxa"/>
          </w:tcPr>
          <w:p w14:paraId="44EE98B9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8.</w:t>
            </w:r>
            <w:r w:rsidR="00DB4E38">
              <w:rPr>
                <w:lang w:val="uk-UA"/>
              </w:rPr>
              <w:t xml:space="preserve">11 - </w:t>
            </w:r>
            <w:r w:rsidRPr="0038756C">
              <w:rPr>
                <w:lang w:val="uk-UA"/>
              </w:rPr>
              <w:t>8.13</w:t>
            </w:r>
            <w:bookmarkStart w:id="0" w:name="_GoBack"/>
            <w:bookmarkEnd w:id="0"/>
          </w:p>
        </w:tc>
        <w:tc>
          <w:tcPr>
            <w:tcW w:w="2858" w:type="dxa"/>
            <w:shd w:val="clear" w:color="auto" w:fill="auto"/>
          </w:tcPr>
          <w:p w14:paraId="1065C8CD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-</w:t>
            </w:r>
          </w:p>
        </w:tc>
      </w:tr>
      <w:tr w:rsidR="0038756C" w:rsidRPr="0038756C" w14:paraId="1B8B17C9" w14:textId="77777777" w:rsidTr="00825B16">
        <w:trPr>
          <w:trHeight w:val="510"/>
        </w:trPr>
        <w:tc>
          <w:tcPr>
            <w:tcW w:w="3374" w:type="dxa"/>
          </w:tcPr>
          <w:p w14:paraId="2A5C6C94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lastRenderedPageBreak/>
              <w:t>9. Вимоги та експлуатація будівель і споруд закладу охорони здоров’я</w:t>
            </w:r>
          </w:p>
        </w:tc>
        <w:tc>
          <w:tcPr>
            <w:tcW w:w="3623" w:type="dxa"/>
          </w:tcPr>
          <w:p w14:paraId="36BE2CC1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9.1 і 9.2</w:t>
            </w:r>
          </w:p>
        </w:tc>
        <w:tc>
          <w:tcPr>
            <w:tcW w:w="2858" w:type="dxa"/>
            <w:shd w:val="clear" w:color="auto" w:fill="auto"/>
          </w:tcPr>
          <w:p w14:paraId="38C7AA6D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Ці пункти не застосовують, якщо в закладі призначили відповідальну особу з питань експлуатації будівель і споруд</w:t>
            </w:r>
          </w:p>
          <w:p w14:paraId="5EE1E7EB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</w:p>
        </w:tc>
      </w:tr>
      <w:tr w:rsidR="0038756C" w:rsidRPr="0038756C" w14:paraId="413B8893" w14:textId="77777777" w:rsidTr="00825B16">
        <w:trPr>
          <w:trHeight w:val="510"/>
        </w:trPr>
        <w:tc>
          <w:tcPr>
            <w:tcW w:w="3374" w:type="dxa"/>
          </w:tcPr>
          <w:p w14:paraId="421C45B3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10. Якість лікувально-профілактичної допомоги</w:t>
            </w:r>
          </w:p>
        </w:tc>
        <w:tc>
          <w:tcPr>
            <w:tcW w:w="3623" w:type="dxa"/>
          </w:tcPr>
          <w:p w14:paraId="51AAA909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10.7—10.</w:t>
            </w:r>
            <w:r w:rsidR="00947BA6">
              <w:rPr>
                <w:lang w:val="uk-UA"/>
              </w:rPr>
              <w:t>28</w:t>
            </w:r>
            <w:r w:rsidRPr="0038756C">
              <w:rPr>
                <w:lang w:val="uk-UA"/>
              </w:rPr>
              <w:t>, 10.3</w:t>
            </w:r>
            <w:r w:rsidR="00947BA6">
              <w:rPr>
                <w:lang w:val="uk-UA"/>
              </w:rPr>
              <w:t>0</w:t>
            </w:r>
            <w:r w:rsidRPr="0038756C">
              <w:rPr>
                <w:lang w:val="uk-UA"/>
              </w:rPr>
              <w:t>, 10.3</w:t>
            </w:r>
            <w:r w:rsidR="00947BA6">
              <w:rPr>
                <w:lang w:val="uk-UA"/>
              </w:rPr>
              <w:t>3</w:t>
            </w:r>
            <w:r w:rsidRPr="0038756C">
              <w:rPr>
                <w:lang w:val="uk-UA"/>
              </w:rPr>
              <w:t>—10.3</w:t>
            </w:r>
            <w:r w:rsidR="00947BA6">
              <w:rPr>
                <w:lang w:val="uk-UA"/>
              </w:rPr>
              <w:t>5</w:t>
            </w:r>
          </w:p>
        </w:tc>
        <w:tc>
          <w:tcPr>
            <w:tcW w:w="2858" w:type="dxa"/>
            <w:shd w:val="clear" w:color="auto" w:fill="auto"/>
          </w:tcPr>
          <w:p w14:paraId="1B23A347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-</w:t>
            </w:r>
          </w:p>
        </w:tc>
      </w:tr>
      <w:tr w:rsidR="0038756C" w:rsidRPr="0038756C" w14:paraId="439147FC" w14:textId="77777777" w:rsidTr="00825B16">
        <w:trPr>
          <w:trHeight w:val="510"/>
        </w:trPr>
        <w:tc>
          <w:tcPr>
            <w:tcW w:w="3374" w:type="dxa"/>
          </w:tcPr>
          <w:p w14:paraId="23F34892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20. Використання ліків</w:t>
            </w:r>
          </w:p>
        </w:tc>
        <w:tc>
          <w:tcPr>
            <w:tcW w:w="3623" w:type="dxa"/>
          </w:tcPr>
          <w:p w14:paraId="4733C25C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20.1, 20.10, 20.12, 20.13</w:t>
            </w:r>
          </w:p>
        </w:tc>
        <w:tc>
          <w:tcPr>
            <w:tcW w:w="2858" w:type="dxa"/>
            <w:shd w:val="clear" w:color="auto" w:fill="auto"/>
          </w:tcPr>
          <w:p w14:paraId="27B41B8A" w14:textId="77777777" w:rsidR="0038756C" w:rsidRPr="0038756C" w:rsidRDefault="0038756C" w:rsidP="00022B07">
            <w:pPr>
              <w:pStyle w:val="ShiftCtrlAlt0"/>
              <w:rPr>
                <w:lang w:val="uk-UA"/>
              </w:rPr>
            </w:pPr>
            <w:r w:rsidRPr="0038756C">
              <w:rPr>
                <w:lang w:val="uk-UA"/>
              </w:rPr>
              <w:t>-</w:t>
            </w:r>
          </w:p>
        </w:tc>
      </w:tr>
    </w:tbl>
    <w:p w14:paraId="378379FF" w14:textId="77777777" w:rsidR="00022B07" w:rsidRPr="0038756C" w:rsidRDefault="00022B07" w:rsidP="0038756C"/>
    <w:sectPr w:rsidR="00022B07" w:rsidRPr="0038756C" w:rsidSect="00D86BC6">
      <w:foot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29054" w14:textId="77777777" w:rsidR="00DB4E38" w:rsidRDefault="00DB4E38" w:rsidP="00D86BC6">
      <w:pPr>
        <w:spacing w:after="0" w:line="240" w:lineRule="auto"/>
      </w:pPr>
      <w:r>
        <w:separator/>
      </w:r>
    </w:p>
  </w:endnote>
  <w:endnote w:type="continuationSeparator" w:id="0">
    <w:p w14:paraId="21E317A7" w14:textId="77777777" w:rsidR="00DB4E38" w:rsidRDefault="00DB4E38" w:rsidP="00D8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F7EA1" w14:textId="77777777" w:rsidR="00DB4E38" w:rsidRDefault="00DB4E38" w:rsidP="00D86BC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2104F" w14:textId="77777777" w:rsidR="00DB4E38" w:rsidRDefault="00DB4E38" w:rsidP="00D86BC6">
      <w:pPr>
        <w:spacing w:after="0" w:line="240" w:lineRule="auto"/>
      </w:pPr>
      <w:r>
        <w:separator/>
      </w:r>
    </w:p>
  </w:footnote>
  <w:footnote w:type="continuationSeparator" w:id="0">
    <w:p w14:paraId="663A7840" w14:textId="77777777" w:rsidR="00DB4E38" w:rsidRDefault="00DB4E38" w:rsidP="00D86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0D"/>
    <w:rsid w:val="00022B07"/>
    <w:rsid w:val="00080264"/>
    <w:rsid w:val="00242A27"/>
    <w:rsid w:val="0038756C"/>
    <w:rsid w:val="003C3509"/>
    <w:rsid w:val="006B0D0D"/>
    <w:rsid w:val="00802DA4"/>
    <w:rsid w:val="00825B16"/>
    <w:rsid w:val="008C3A73"/>
    <w:rsid w:val="00947BA6"/>
    <w:rsid w:val="00C47997"/>
    <w:rsid w:val="00D86BC6"/>
    <w:rsid w:val="00DB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F265"/>
  <w15:docId w15:val="{4675ADCD-9CD0-41F0-8BE9-B99F5B0D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26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D86BC6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ShiftCtrlAlt">
    <w:name w:val="Таблица_заголовок (Таблица__Shift+Ctrl_Alt)"/>
    <w:uiPriority w:val="99"/>
    <w:rsid w:val="00D86BC6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ShiftCtrlAlt0">
    <w:name w:val="Таблица_основной_текст (Таблица__Shift+Ctrl_Alt)"/>
    <w:uiPriority w:val="99"/>
    <w:rsid w:val="00D86BC6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D86BC6"/>
    <w:pPr>
      <w:spacing w:line="180" w:lineRule="atLeast"/>
      <w:jc w:val="center"/>
    </w:pPr>
    <w:rPr>
      <w:b/>
      <w:bCs/>
      <w:szCs w:val="16"/>
    </w:rPr>
  </w:style>
  <w:style w:type="character" w:customStyle="1" w:styleId="BoldItalic">
    <w:name w:val="Bold Italic"/>
    <w:basedOn w:val="a0"/>
    <w:qFormat/>
    <w:rsid w:val="00D86BC6"/>
    <w:rPr>
      <w:rFonts w:ascii="Times New Roman" w:hAnsi="Times New Roman"/>
      <w:b/>
      <w:bCs/>
      <w:i/>
      <w:lang w:val="ru-RU"/>
    </w:rPr>
  </w:style>
  <w:style w:type="paragraph" w:styleId="a3">
    <w:name w:val="header"/>
    <w:basedOn w:val="a"/>
    <w:link w:val="a4"/>
    <w:uiPriority w:val="99"/>
    <w:unhideWhenUsed/>
    <w:rsid w:val="00D86B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ій колонтитул Знак"/>
    <w:basedOn w:val="a0"/>
    <w:link w:val="a3"/>
    <w:uiPriority w:val="99"/>
    <w:rsid w:val="00D86BC6"/>
    <w:rPr>
      <w:lang w:val="uk-UA"/>
    </w:rPr>
  </w:style>
  <w:style w:type="paragraph" w:styleId="a5">
    <w:name w:val="footer"/>
    <w:basedOn w:val="a"/>
    <w:link w:val="a6"/>
    <w:uiPriority w:val="99"/>
    <w:unhideWhenUsed/>
    <w:rsid w:val="00D86B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ій колонтитул Знак"/>
    <w:basedOn w:val="a0"/>
    <w:link w:val="a5"/>
    <w:uiPriority w:val="99"/>
    <w:rsid w:val="00D86BC6"/>
    <w:rPr>
      <w:lang w:val="uk-UA"/>
    </w:rPr>
  </w:style>
  <w:style w:type="table" w:styleId="a7">
    <w:name w:val="Table Grid"/>
    <w:basedOn w:val="a1"/>
    <w:uiPriority w:val="59"/>
    <w:rsid w:val="0008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C47997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49F481314024DBAEE1A3BEEE81B10" ma:contentTypeVersion="15" ma:contentTypeDescription="Створення нового документа." ma:contentTypeScope="" ma:versionID="1d757057adcca4a6d11dfe66cc0b5025">
  <xsd:schema xmlns:xsd="http://www.w3.org/2001/XMLSchema" xmlns:xs="http://www.w3.org/2001/XMLSchema" xmlns:p="http://schemas.microsoft.com/office/2006/metadata/properties" xmlns:ns3="200e9dea-5089-4780-9aac-48c09d0205c0" xmlns:ns4="4f95839d-3e7c-4a58-bdb7-96fd3eec3692" targetNamespace="http://schemas.microsoft.com/office/2006/metadata/properties" ma:root="true" ma:fieldsID="821b0f6b630abc9cff1c793c96c104ed" ns3:_="" ns4:_="">
    <xsd:import namespace="200e9dea-5089-4780-9aac-48c09d0205c0"/>
    <xsd:import namespace="4f95839d-3e7c-4a58-bdb7-96fd3eec3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e9dea-5089-4780-9aac-48c09d020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5839d-3e7c-4a58-bdb7-96fd3eec3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0e9dea-5089-4780-9aac-48c09d0205c0" xsi:nil="true"/>
  </documentManagement>
</p:properties>
</file>

<file path=customXml/itemProps1.xml><?xml version="1.0" encoding="utf-8"?>
<ds:datastoreItem xmlns:ds="http://schemas.openxmlformats.org/officeDocument/2006/customXml" ds:itemID="{C11BA768-18A7-44E9-A42B-8D8A4E23D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e9dea-5089-4780-9aac-48c09d0205c0"/>
    <ds:schemaRef ds:uri="4f95839d-3e7c-4a58-bdb7-96fd3eec3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0D81C5-82B0-435F-91B3-A2064A662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91A96-A494-49DA-91EF-C6BF801ECE8F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4f95839d-3e7c-4a58-bdb7-96fd3eec3692"/>
    <ds:schemaRef ds:uri="http://schemas.microsoft.com/office/infopath/2007/PartnerControls"/>
    <ds:schemaRef ds:uri="200e9dea-5089-4780-9aac-48c09d0205c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1145</Words>
  <Characters>653</Characters>
  <Application>Microsoft Office Word</Application>
  <DocSecurity>4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Шевченко</dc:creator>
  <cp:keywords/>
  <dc:description/>
  <cp:lastModifiedBy>Анжела Абанкіна</cp:lastModifiedBy>
  <cp:revision>2</cp:revision>
  <dcterms:created xsi:type="dcterms:W3CDTF">2024-12-05T20:05:00Z</dcterms:created>
  <dcterms:modified xsi:type="dcterms:W3CDTF">2024-12-05T20:05:00Z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0x0101006B449F481314024DBAEE1A3BEEE81B10</vt:lpwstr>
  </property>
</Properties>
</file>