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5DA4" w14:textId="77777777" w:rsidR="00663A7B" w:rsidRPr="00663A7B" w:rsidRDefault="00663A7B" w:rsidP="00663A7B">
      <w:pPr>
        <w:pStyle w:val="1"/>
        <w:jc w:val="center"/>
        <w:rPr>
          <w:rFonts w:ascii="Times New Roman" w:eastAsia="Times New Roman" w:hAnsi="Times New Roman" w:cs="Times New Roman"/>
          <w:b/>
          <w:bCs/>
          <w:color w:val="auto"/>
          <w:kern w:val="36"/>
          <w14:ligatures w14:val="none"/>
        </w:rPr>
      </w:pPr>
      <w:r w:rsidRPr="00663A7B">
        <w:rPr>
          <w:rFonts w:ascii="Times New Roman" w:eastAsia="Times New Roman" w:hAnsi="Times New Roman" w:cs="Times New Roman"/>
          <w:b/>
          <w:bCs/>
          <w:color w:val="auto"/>
        </w:rPr>
        <w:t>Зміни в акредитації ЗОЗ</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67"/>
        <w:gridCol w:w="4672"/>
      </w:tblGrid>
      <w:tr w:rsidR="00663A7B" w14:paraId="2A762B1F"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5F4836F1" w14:textId="77777777" w:rsidR="00663A7B" w:rsidRDefault="00663A7B" w:rsidP="00875A9B">
            <w:pPr>
              <w:pStyle w:val="ad"/>
              <w:jc w:val="center"/>
            </w:pPr>
            <w:r>
              <w:rPr>
                <w:b/>
                <w:bCs/>
              </w:rPr>
              <w:t>Було</w:t>
            </w:r>
          </w:p>
        </w:tc>
        <w:tc>
          <w:tcPr>
            <w:tcW w:w="4678" w:type="dxa"/>
            <w:tcBorders>
              <w:top w:val="outset" w:sz="6" w:space="0" w:color="auto"/>
              <w:left w:val="outset" w:sz="6" w:space="0" w:color="auto"/>
              <w:bottom w:val="outset" w:sz="6" w:space="0" w:color="auto"/>
              <w:right w:val="outset" w:sz="6" w:space="0" w:color="auto"/>
            </w:tcBorders>
            <w:hideMark/>
          </w:tcPr>
          <w:p w14:paraId="707097A3" w14:textId="77777777" w:rsidR="00663A7B" w:rsidRDefault="00663A7B" w:rsidP="00875A9B">
            <w:pPr>
              <w:pStyle w:val="ad"/>
              <w:jc w:val="center"/>
            </w:pPr>
            <w:r>
              <w:rPr>
                <w:b/>
                <w:bCs/>
              </w:rPr>
              <w:t>Стало</w:t>
            </w:r>
          </w:p>
        </w:tc>
      </w:tr>
      <w:tr w:rsidR="00663A7B" w14:paraId="3173ACA3"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1261151D" w14:textId="77777777" w:rsidR="00663A7B" w:rsidRDefault="00663A7B" w:rsidP="00875A9B">
            <w:pPr>
              <w:pStyle w:val="ad"/>
            </w:pPr>
            <w:hyperlink r:id="rId4" w:anchor="d7e54a5df8" w:history="1">
              <w:r>
                <w:rPr>
                  <w:rStyle w:val="ac"/>
                </w:rPr>
                <w:t>Пункт 2.1 Порядку проведення медичних оглядів працівників певних категорій, затвердженого Наказом № 246</w:t>
              </w:r>
            </w:hyperlink>
          </w:p>
        </w:tc>
      </w:tr>
      <w:tr w:rsidR="00663A7B" w14:paraId="599563A5"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3DB2BE69" w14:textId="77777777" w:rsidR="00663A7B" w:rsidRDefault="00663A7B" w:rsidP="00875A9B">
            <w:pPr>
              <w:pStyle w:val="ad"/>
            </w:pPr>
            <w:r>
              <w:t xml:space="preserve">Попередній (періодичні) медичний огляд працівників проводиться закладами охорони здоров’я, </w:t>
            </w:r>
            <w:r>
              <w:rPr>
                <w:shd w:val="clear" w:color="auto" w:fill="FBEEB8"/>
              </w:rPr>
              <w:t>що віднесені до другої, першої, вищої акредитаційної категорії за результатами державної акредитації відповідно до Порядку державної акредитації закладу охорони здоров’я, затвердженого постановою Кабінету Міністрів України від 15.07.97 № 765, а також спеціалізованими закладами охорони здоров’я, які мають право встановлювати остаточний діагноз щодо професійних захворювань, перелік яких затверджено наказом МОЗ України від 25.03.2003 № 133, зареєстрованим в Міністерстві юстиції України 10.04.2003 за № 283/7604, вищими медичними навчальними закладами III-IV рівнів акредитації, які мають кафедри та курси професійних захворювань та проводять лабораторні, функціональні та інші дослідження і надають медико-санітарну допомогу за спеціальностями, що передбачені додатками 4 та 5 до пункту 2.6 цього Порядку.</w:t>
            </w:r>
          </w:p>
        </w:tc>
        <w:tc>
          <w:tcPr>
            <w:tcW w:w="4678" w:type="dxa"/>
            <w:tcBorders>
              <w:top w:val="outset" w:sz="6" w:space="0" w:color="auto"/>
              <w:left w:val="outset" w:sz="6" w:space="0" w:color="auto"/>
              <w:bottom w:val="outset" w:sz="6" w:space="0" w:color="auto"/>
              <w:right w:val="outset" w:sz="6" w:space="0" w:color="auto"/>
            </w:tcBorders>
            <w:hideMark/>
          </w:tcPr>
          <w:p w14:paraId="0D3F89C8" w14:textId="77777777" w:rsidR="00663A7B" w:rsidRDefault="00663A7B" w:rsidP="00875A9B">
            <w:pPr>
              <w:pStyle w:val="ad"/>
            </w:pPr>
            <w:r>
              <w:t xml:space="preserve">Попередній (періодичні) медичний огляд працівників проводиться закладами охорони здоров’я, </w:t>
            </w:r>
            <w:r>
              <w:rPr>
                <w:shd w:val="clear" w:color="auto" w:fill="FBEEB8"/>
              </w:rPr>
              <w:t>які отримали в установленому законодавством порядку ліцензію на провадження господарської діяльності з медичної практики за спеціальностями, що передбачені додатками 4 та 5 до цього Порядку.</w:t>
            </w:r>
          </w:p>
        </w:tc>
      </w:tr>
      <w:tr w:rsidR="00663A7B" w14:paraId="098C0641"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531C8E4D" w14:textId="77777777" w:rsidR="00663A7B" w:rsidRDefault="00663A7B" w:rsidP="00875A9B">
            <w:pPr>
              <w:pStyle w:val="ad"/>
            </w:pPr>
            <w:hyperlink r:id="rId5" w:anchor="0d1fc7aa9a" w:tgtFrame="_blank" w:history="1">
              <w:r>
                <w:rPr>
                  <w:rStyle w:val="ac"/>
                </w:rPr>
                <w:t>Пункт 2.1 розділу II</w:t>
              </w:r>
            </w:hyperlink>
            <w:r>
              <w:t xml:space="preserve"> та </w:t>
            </w:r>
            <w:hyperlink r:id="rId6" w:anchor="7bf87496d5" w:tgtFrame="_blank" w:history="1">
              <w:r>
                <w:rPr>
                  <w:rStyle w:val="ac"/>
                </w:rPr>
                <w:t>пункт 3.6 розділу III Порядку надання комплексної медичної допомоги вагітній жінці під час небажаної вагітності, затвердженого Наказом № 423</w:t>
              </w:r>
            </w:hyperlink>
          </w:p>
        </w:tc>
      </w:tr>
      <w:tr w:rsidR="00663A7B" w14:paraId="2AFF9E53"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5BD89CC4" w14:textId="77777777" w:rsidR="00663A7B" w:rsidRDefault="00663A7B" w:rsidP="00875A9B">
            <w:pPr>
              <w:pStyle w:val="ad"/>
            </w:pPr>
            <w:r>
              <w:t xml:space="preserve">Операція (процедура) штучного переривання небажаної вагітності проводиться за місцем звернення вагітної жінки </w:t>
            </w:r>
            <w:r>
              <w:rPr>
                <w:shd w:val="clear" w:color="auto" w:fill="FBEEB8"/>
              </w:rPr>
              <w:t xml:space="preserve">в акредитованих закладах охорони здоров’я II та III рівнів із застосуванням безпечних </w:t>
            </w:r>
            <w:proofErr w:type="spellStart"/>
            <w:r>
              <w:rPr>
                <w:shd w:val="clear" w:color="auto" w:fill="FBEEB8"/>
              </w:rPr>
              <w:t>методик</w:t>
            </w:r>
            <w:proofErr w:type="spellEnd"/>
            <w:r>
              <w:rPr>
                <w:shd w:val="clear" w:color="auto" w:fill="FBEEB8"/>
              </w:rPr>
              <w:t xml:space="preserve"> відповідно до Клінічного протоколу.</w:t>
            </w:r>
          </w:p>
        </w:tc>
        <w:tc>
          <w:tcPr>
            <w:tcW w:w="4678" w:type="dxa"/>
            <w:tcBorders>
              <w:top w:val="outset" w:sz="6" w:space="0" w:color="auto"/>
              <w:left w:val="outset" w:sz="6" w:space="0" w:color="auto"/>
              <w:bottom w:val="outset" w:sz="6" w:space="0" w:color="auto"/>
              <w:right w:val="outset" w:sz="6" w:space="0" w:color="auto"/>
            </w:tcBorders>
            <w:hideMark/>
          </w:tcPr>
          <w:p w14:paraId="2002EB0A" w14:textId="77777777" w:rsidR="00663A7B" w:rsidRDefault="00663A7B" w:rsidP="00875A9B">
            <w:pPr>
              <w:pStyle w:val="ad"/>
            </w:pPr>
            <w:r>
              <w:t xml:space="preserve">Операція (процедура) штучного переривання небажаної вагітності проводиться за місцем звернення вагітної жінки </w:t>
            </w:r>
            <w:r>
              <w:rPr>
                <w:shd w:val="clear" w:color="auto" w:fill="FBEEB8"/>
              </w:rPr>
              <w:t xml:space="preserve">в закладах охорони здоров’я, які отримали в установленому законодавством порядку ліцензію на провадження господарської діяльності з медичної практики із застосуванням безпечних </w:t>
            </w:r>
            <w:proofErr w:type="spellStart"/>
            <w:r>
              <w:rPr>
                <w:shd w:val="clear" w:color="auto" w:fill="FBEEB8"/>
              </w:rPr>
              <w:t>методик</w:t>
            </w:r>
            <w:proofErr w:type="spellEnd"/>
            <w:r>
              <w:rPr>
                <w:shd w:val="clear" w:color="auto" w:fill="FBEEB8"/>
              </w:rPr>
              <w:t xml:space="preserve"> відповідно до Клінічного протоколу.</w:t>
            </w:r>
          </w:p>
        </w:tc>
      </w:tr>
      <w:tr w:rsidR="00663A7B" w14:paraId="2DFC0733"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2B6998C4" w14:textId="77777777" w:rsidR="00663A7B" w:rsidRDefault="00663A7B" w:rsidP="00875A9B">
            <w:pPr>
              <w:pStyle w:val="ad"/>
            </w:pPr>
            <w:r>
              <w:t xml:space="preserve">Операція (процедура) штучного переривання небажаної вагітності здійснюється лікарями-акушерами-гінекологами із застосуванням безпечних </w:t>
            </w:r>
            <w:proofErr w:type="spellStart"/>
            <w:r>
              <w:t>методик</w:t>
            </w:r>
            <w:proofErr w:type="spellEnd"/>
            <w:r>
              <w:t xml:space="preserve"> </w:t>
            </w:r>
            <w:r>
              <w:rPr>
                <w:shd w:val="clear" w:color="auto" w:fill="FBEEB8"/>
              </w:rPr>
              <w:t>в акредитованих закладах охорони здоров’я III рівня</w:t>
            </w:r>
            <w:r>
              <w:t>, які пройшли відповідну підготовку та мають стаж роботи за фахом відповідно до Клінічного протоколу.</w:t>
            </w:r>
          </w:p>
        </w:tc>
        <w:tc>
          <w:tcPr>
            <w:tcW w:w="4678" w:type="dxa"/>
            <w:tcBorders>
              <w:top w:val="outset" w:sz="6" w:space="0" w:color="auto"/>
              <w:left w:val="outset" w:sz="6" w:space="0" w:color="auto"/>
              <w:bottom w:val="outset" w:sz="6" w:space="0" w:color="auto"/>
              <w:right w:val="outset" w:sz="6" w:space="0" w:color="auto"/>
            </w:tcBorders>
            <w:hideMark/>
          </w:tcPr>
          <w:p w14:paraId="0D165D0A" w14:textId="77777777" w:rsidR="00663A7B" w:rsidRDefault="00663A7B" w:rsidP="00875A9B">
            <w:pPr>
              <w:pStyle w:val="ad"/>
            </w:pPr>
            <w:r>
              <w:t xml:space="preserve">Операція (процедура) штучного переривання небажаної вагітності здійснюється лікарями-акушерами-гінекологами із застосуванням безпечних </w:t>
            </w:r>
            <w:proofErr w:type="spellStart"/>
            <w:r>
              <w:t>методик</w:t>
            </w:r>
            <w:proofErr w:type="spellEnd"/>
            <w:r>
              <w:t xml:space="preserve"> </w:t>
            </w:r>
            <w:r>
              <w:rPr>
                <w:shd w:val="clear" w:color="auto" w:fill="FBEEB8"/>
              </w:rPr>
              <w:t>в закладах охорони здоров’я</w:t>
            </w:r>
            <w:r>
              <w:t>, які пройшли відповідну підготовку та мають стаж роботи за фахом відповідно до Клінічного протоколу.</w:t>
            </w:r>
          </w:p>
        </w:tc>
      </w:tr>
      <w:tr w:rsidR="00663A7B" w14:paraId="5F6762AD"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38ACFCB4" w14:textId="77777777" w:rsidR="00663A7B" w:rsidRDefault="00663A7B" w:rsidP="00875A9B">
            <w:pPr>
              <w:pStyle w:val="ad"/>
            </w:pPr>
            <w:hyperlink r:id="rId7" w:anchor="a570302778" w:tgtFrame="_blank" w:history="1">
              <w:r>
                <w:rPr>
                  <w:rStyle w:val="ac"/>
                </w:rPr>
                <w:t>Абзац 2 пункту 1.4 розділу I Порядку застосування допоміжних репродуктивних технологій в Україні, затвердженого Наказом № 787</w:t>
              </w:r>
            </w:hyperlink>
          </w:p>
        </w:tc>
      </w:tr>
      <w:tr w:rsidR="00663A7B" w14:paraId="58D07DD7"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1C416629" w14:textId="77777777" w:rsidR="00663A7B" w:rsidRDefault="00663A7B" w:rsidP="00875A9B">
            <w:pPr>
              <w:pStyle w:val="ad"/>
            </w:pPr>
            <w:r>
              <w:lastRenderedPageBreak/>
              <w:t>Допоміжні репродуктивні технології повинні застосовуватись в закладах охорони здоров’я, що мають ліцензію на впровадження господарської діяльності з медичної практики, відповідне оснащення та обладнання згідно з додатком 1 до цього Порядку.</w:t>
            </w:r>
          </w:p>
          <w:p w14:paraId="13F8E82C" w14:textId="77777777" w:rsidR="00663A7B" w:rsidRDefault="00663A7B" w:rsidP="00875A9B">
            <w:pPr>
              <w:pStyle w:val="ad"/>
            </w:pPr>
            <w:r>
              <w:rPr>
                <w:shd w:val="clear" w:color="auto" w:fill="F8CAC6"/>
              </w:rPr>
              <w:t>Для закладів охорони здоров’я, що здійснюють діяльність з медичної практики понад двох років, також необхідна наявність акредитаційного сертифіката.</w:t>
            </w:r>
          </w:p>
        </w:tc>
        <w:tc>
          <w:tcPr>
            <w:tcW w:w="4678" w:type="dxa"/>
            <w:tcBorders>
              <w:top w:val="outset" w:sz="6" w:space="0" w:color="auto"/>
              <w:left w:val="outset" w:sz="6" w:space="0" w:color="auto"/>
              <w:bottom w:val="outset" w:sz="6" w:space="0" w:color="auto"/>
              <w:right w:val="outset" w:sz="6" w:space="0" w:color="auto"/>
            </w:tcBorders>
            <w:hideMark/>
          </w:tcPr>
          <w:p w14:paraId="4EEF9914" w14:textId="77777777" w:rsidR="00663A7B" w:rsidRDefault="00663A7B" w:rsidP="00875A9B">
            <w:pPr>
              <w:pStyle w:val="ad"/>
            </w:pPr>
            <w:r>
              <w:t>Допоміжні репродуктивні технології повинні застосовуватись в закладах охорони здоров’я, що мають ліцензію на впровадження господарської діяльності з медичної практики, відповідне оснащення та обладнання згідно з додатком 1 до цього Порядку.</w:t>
            </w:r>
          </w:p>
        </w:tc>
      </w:tr>
      <w:tr w:rsidR="00663A7B" w14:paraId="15ACCC1D"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51787852" w14:textId="77777777" w:rsidR="00663A7B" w:rsidRDefault="00663A7B" w:rsidP="00875A9B">
            <w:pPr>
              <w:pStyle w:val="ad"/>
            </w:pPr>
            <w:hyperlink r:id="rId8" w:anchor="dbe77aa3c2" w:history="1">
              <w:r>
                <w:rPr>
                  <w:rStyle w:val="ac"/>
                </w:rPr>
                <w:t>Підпункт 1 пункту 1 розділу III Положення про інтернатуру, затверджене Наказом № 1254</w:t>
              </w:r>
            </w:hyperlink>
          </w:p>
        </w:tc>
      </w:tr>
      <w:tr w:rsidR="00663A7B" w14:paraId="09FADBB3"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211F44B6" w14:textId="77777777" w:rsidR="00663A7B" w:rsidRDefault="00663A7B" w:rsidP="00875A9B">
            <w:pPr>
              <w:pStyle w:val="ad"/>
            </w:pPr>
            <w:r>
              <w:t>Бази стажування лікарів-інтернів повинні відповідати таким вимогам:</w:t>
            </w:r>
          </w:p>
          <w:p w14:paraId="479BBB3B" w14:textId="77777777" w:rsidR="00663A7B" w:rsidRDefault="00663A7B" w:rsidP="00875A9B">
            <w:pPr>
              <w:pStyle w:val="ad"/>
            </w:pPr>
            <w:r>
              <w:t xml:space="preserve">1) </w:t>
            </w:r>
            <w:r>
              <w:rPr>
                <w:shd w:val="clear" w:color="auto" w:fill="FBEEB8"/>
              </w:rPr>
              <w:t>наявність акредитаційного сертифікату першої або вищої категорії;</w:t>
            </w:r>
          </w:p>
          <w:p w14:paraId="3C6A9A5B" w14:textId="77777777" w:rsidR="00663A7B" w:rsidRDefault="00663A7B" w:rsidP="00875A9B">
            <w:pPr>
              <w:pStyle w:val="ad"/>
            </w:pPr>
            <w:r>
              <w:t>2) наявність необхідної кількості кураторів лікарів-інтернів з числа лікарів, які мають не нижче першої кваліфікаційної категорії або досвід роботи за фахом не менше 7 років.</w:t>
            </w:r>
          </w:p>
        </w:tc>
        <w:tc>
          <w:tcPr>
            <w:tcW w:w="4678" w:type="dxa"/>
            <w:tcBorders>
              <w:top w:val="outset" w:sz="6" w:space="0" w:color="auto"/>
              <w:left w:val="outset" w:sz="6" w:space="0" w:color="auto"/>
              <w:bottom w:val="outset" w:sz="6" w:space="0" w:color="auto"/>
              <w:right w:val="outset" w:sz="6" w:space="0" w:color="auto"/>
            </w:tcBorders>
            <w:hideMark/>
          </w:tcPr>
          <w:p w14:paraId="60B05951" w14:textId="77777777" w:rsidR="00663A7B" w:rsidRDefault="00663A7B" w:rsidP="00875A9B">
            <w:pPr>
              <w:pStyle w:val="ad"/>
            </w:pPr>
            <w:r>
              <w:t>Бази стажування лікарів-інтернів повинні відповідати таким вимогам:</w:t>
            </w:r>
          </w:p>
          <w:p w14:paraId="685F6478" w14:textId="77777777" w:rsidR="00663A7B" w:rsidRDefault="00663A7B" w:rsidP="00875A9B">
            <w:pPr>
              <w:pStyle w:val="ad"/>
            </w:pPr>
            <w:r>
              <w:t xml:space="preserve">1) </w:t>
            </w:r>
            <w:r>
              <w:rPr>
                <w:shd w:val="clear" w:color="auto" w:fill="FBEEB8"/>
              </w:rPr>
              <w:t>наявність ліцензії на провадження господарської діяльності з медичної практики;</w:t>
            </w:r>
          </w:p>
          <w:p w14:paraId="2E9E4CF3" w14:textId="77777777" w:rsidR="00663A7B" w:rsidRDefault="00663A7B" w:rsidP="00875A9B">
            <w:pPr>
              <w:pStyle w:val="ad"/>
            </w:pPr>
            <w:r>
              <w:t>2) наявність необхідної кількості кураторів лікарів-інтернів з числа лікарів, які мають не нижче першої кваліфікаційної категорії або досвід роботи за фахом не менше 7 років.</w:t>
            </w:r>
          </w:p>
        </w:tc>
      </w:tr>
      <w:tr w:rsidR="00663A7B" w14:paraId="456C42E1"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77CB1833" w14:textId="77777777" w:rsidR="00663A7B" w:rsidRDefault="00663A7B" w:rsidP="00875A9B">
            <w:pPr>
              <w:pStyle w:val="ad"/>
            </w:pPr>
            <w:hyperlink r:id="rId9" w:anchor="abcfb1c500" w:history="1">
              <w:r>
                <w:rPr>
                  <w:rStyle w:val="ac"/>
                </w:rPr>
                <w:t>Пункт 5.5 розділу V Порядку проведення клінічних випробувань лікарських засобів та експертизи матеріалів клінічних випробувань, затвердженого Наказом № 690</w:t>
              </w:r>
            </w:hyperlink>
          </w:p>
        </w:tc>
      </w:tr>
      <w:tr w:rsidR="00663A7B" w14:paraId="7692E114"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654E905F" w14:textId="77777777" w:rsidR="00663A7B" w:rsidRDefault="00663A7B" w:rsidP="00875A9B">
            <w:pPr>
              <w:pStyle w:val="ad"/>
            </w:pPr>
            <w:r>
              <w:t xml:space="preserve">ЛПЗ, який проводить клінічні дослідження </w:t>
            </w:r>
            <w:proofErr w:type="spellStart"/>
            <w:r>
              <w:t>біоеквівалентності</w:t>
            </w:r>
            <w:proofErr w:type="spellEnd"/>
            <w:r>
              <w:t xml:space="preserve"> лікарських засобів, надає до Центру акредитаційний сертифікат, виданий ЦОВВ (за наявності).</w:t>
            </w:r>
          </w:p>
        </w:tc>
        <w:tc>
          <w:tcPr>
            <w:tcW w:w="4678" w:type="dxa"/>
            <w:tcBorders>
              <w:top w:val="outset" w:sz="6" w:space="0" w:color="auto"/>
              <w:left w:val="outset" w:sz="6" w:space="0" w:color="auto"/>
              <w:bottom w:val="outset" w:sz="6" w:space="0" w:color="auto"/>
              <w:right w:val="outset" w:sz="6" w:space="0" w:color="auto"/>
            </w:tcBorders>
            <w:hideMark/>
          </w:tcPr>
          <w:p w14:paraId="1205762A" w14:textId="77777777" w:rsidR="00663A7B" w:rsidRDefault="00663A7B" w:rsidP="00875A9B">
            <w:pPr>
              <w:pStyle w:val="ad"/>
            </w:pPr>
            <w:r>
              <w:t>-</w:t>
            </w:r>
          </w:p>
        </w:tc>
      </w:tr>
      <w:tr w:rsidR="00663A7B" w14:paraId="3452A625"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7BD1A277" w14:textId="77777777" w:rsidR="00663A7B" w:rsidRDefault="00663A7B" w:rsidP="00875A9B">
            <w:pPr>
              <w:pStyle w:val="ad"/>
            </w:pPr>
            <w:hyperlink r:id="rId10" w:anchor="f623f7a145" w:history="1">
              <w:r>
                <w:rPr>
                  <w:rStyle w:val="ac"/>
                </w:rPr>
                <w:t>Пункт 1.5 розділу I</w:t>
              </w:r>
            </w:hyperlink>
            <w:r>
              <w:t xml:space="preserve"> та </w:t>
            </w:r>
            <w:hyperlink r:id="rId11" w:anchor="a47c934278" w:history="1">
              <w:r>
                <w:rPr>
                  <w:rStyle w:val="ac"/>
                </w:rPr>
                <w:t>підпункт 3.4.1 пункту 3.4 Методики розробки та впровадження медичних стандартів медичної допомоги на засадах доказової медицини, затвердженій Наказом № 751</w:t>
              </w:r>
            </w:hyperlink>
          </w:p>
        </w:tc>
      </w:tr>
      <w:tr w:rsidR="00663A7B" w14:paraId="16A5F185"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61BC971B" w14:textId="77777777" w:rsidR="00663A7B" w:rsidRDefault="00663A7B" w:rsidP="00875A9B">
            <w:pPr>
              <w:pStyle w:val="ad"/>
            </w:pPr>
            <w:r>
              <w:t xml:space="preserve">Призначення медико-технологічних документів на державному та регіональному рівнях полягає в тому, що стандарт медичної допомоги містить критерії для контролю за діяльністю системи охорони здоров’я </w:t>
            </w:r>
            <w:r>
              <w:rPr>
                <w:shd w:val="clear" w:color="auto" w:fill="F8CAC6"/>
              </w:rPr>
              <w:t>та акредитації ЗОЗ</w:t>
            </w:r>
            <w:r>
              <w:t>. Уніфікований клінічний протокол медичної допомоги та новий клінічний протокол медичної допомоги визначають вимоги до структури, процесу та результату медичної допомоги і містять індикатори для клінічного аудиту.</w:t>
            </w:r>
          </w:p>
        </w:tc>
        <w:tc>
          <w:tcPr>
            <w:tcW w:w="4678" w:type="dxa"/>
            <w:tcBorders>
              <w:top w:val="outset" w:sz="6" w:space="0" w:color="auto"/>
              <w:left w:val="outset" w:sz="6" w:space="0" w:color="auto"/>
              <w:bottom w:val="outset" w:sz="6" w:space="0" w:color="auto"/>
              <w:right w:val="outset" w:sz="6" w:space="0" w:color="auto"/>
            </w:tcBorders>
            <w:hideMark/>
          </w:tcPr>
          <w:p w14:paraId="1AFDD375" w14:textId="77777777" w:rsidR="00663A7B" w:rsidRDefault="00663A7B" w:rsidP="00875A9B">
            <w:pPr>
              <w:pStyle w:val="ad"/>
            </w:pPr>
            <w:r>
              <w:t>Призначення медико-технологічних документів на державному та регіональному рівнях полягає в тому, що стандарт медичної допомоги містить критерії для контролю за діяльністю системи охорони здоров’я. Уніфікований клінічний протокол медичної допомоги та новий клінічний протокол медичної допомоги визначають вимоги до структури, процесу та результату медичної допомоги і містять індикатори для клінічного аудиту.</w:t>
            </w:r>
          </w:p>
        </w:tc>
      </w:tr>
      <w:tr w:rsidR="00663A7B" w14:paraId="397489EA"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772F2FC3" w14:textId="77777777" w:rsidR="00663A7B" w:rsidRDefault="00663A7B" w:rsidP="00875A9B">
            <w:pPr>
              <w:pStyle w:val="ad"/>
            </w:pPr>
            <w:r>
              <w:t xml:space="preserve">Дотримання стандартів медичної допомоги ЗОЗ є гарантією того, що клінічні настанови і механізми управління ризиками запроваджені і підтримують надання безпечної, ефективної, орієнтованої на пацієнта медичної допомоги. Стандарти медичної допомоги є основою </w:t>
            </w:r>
            <w:r>
              <w:rPr>
                <w:shd w:val="clear" w:color="auto" w:fill="F8CAC6"/>
              </w:rPr>
              <w:t>акредитації ЗОЗ та</w:t>
            </w:r>
            <w:r>
              <w:t xml:space="preserve"> адміністративного контролю, </w:t>
            </w:r>
            <w:r>
              <w:lastRenderedPageBreak/>
              <w:t>оскільки містять критерії якості та індикатори якості медичної допомоги.</w:t>
            </w:r>
          </w:p>
        </w:tc>
        <w:tc>
          <w:tcPr>
            <w:tcW w:w="4678" w:type="dxa"/>
            <w:tcBorders>
              <w:top w:val="outset" w:sz="6" w:space="0" w:color="auto"/>
              <w:left w:val="outset" w:sz="6" w:space="0" w:color="auto"/>
              <w:bottom w:val="outset" w:sz="6" w:space="0" w:color="auto"/>
              <w:right w:val="outset" w:sz="6" w:space="0" w:color="auto"/>
            </w:tcBorders>
            <w:hideMark/>
          </w:tcPr>
          <w:p w14:paraId="684851BC" w14:textId="77777777" w:rsidR="00663A7B" w:rsidRDefault="00663A7B" w:rsidP="00875A9B">
            <w:pPr>
              <w:pStyle w:val="ad"/>
            </w:pPr>
            <w:r>
              <w:lastRenderedPageBreak/>
              <w:t xml:space="preserve">Дотримання стандартів медичної допомоги ЗОЗ є гарантією того, що клінічні настанови і механізми управління ризиками запроваджені і підтримують надання безпечної, ефективної, орієнтованої на пацієнта медичної допомоги. Стандарти медичної допомоги є основою адміністративного контролю, оскільки </w:t>
            </w:r>
            <w:r>
              <w:lastRenderedPageBreak/>
              <w:t>містять критерії якості та індикатори якості медичної допомоги.</w:t>
            </w:r>
          </w:p>
        </w:tc>
      </w:tr>
      <w:tr w:rsidR="00663A7B" w14:paraId="74FE891D" w14:textId="77777777" w:rsidTr="00875A9B">
        <w:tc>
          <w:tcPr>
            <w:tcW w:w="9351" w:type="dxa"/>
            <w:gridSpan w:val="2"/>
            <w:tcBorders>
              <w:top w:val="outset" w:sz="6" w:space="0" w:color="auto"/>
              <w:left w:val="outset" w:sz="6" w:space="0" w:color="auto"/>
              <w:bottom w:val="outset" w:sz="6" w:space="0" w:color="auto"/>
              <w:right w:val="outset" w:sz="6" w:space="0" w:color="auto"/>
            </w:tcBorders>
            <w:hideMark/>
          </w:tcPr>
          <w:p w14:paraId="46DBB012" w14:textId="77777777" w:rsidR="00663A7B" w:rsidRDefault="00663A7B" w:rsidP="00875A9B">
            <w:pPr>
              <w:pStyle w:val="ad"/>
            </w:pPr>
            <w:hyperlink r:id="rId12" w:anchor="60674ee78f" w:history="1">
              <w:r>
                <w:rPr>
                  <w:rStyle w:val="ac"/>
                </w:rPr>
                <w:t>Пункт 6 Порядку контролю якості медичної допомоги, затвердженого Наказом № 752</w:t>
              </w:r>
            </w:hyperlink>
          </w:p>
        </w:tc>
      </w:tr>
      <w:tr w:rsidR="00663A7B" w14:paraId="30F1B3F7" w14:textId="77777777" w:rsidTr="00875A9B">
        <w:tc>
          <w:tcPr>
            <w:tcW w:w="4673" w:type="dxa"/>
            <w:tcBorders>
              <w:top w:val="outset" w:sz="6" w:space="0" w:color="auto"/>
              <w:left w:val="outset" w:sz="6" w:space="0" w:color="auto"/>
              <w:bottom w:val="outset" w:sz="6" w:space="0" w:color="auto"/>
              <w:right w:val="outset" w:sz="6" w:space="0" w:color="auto"/>
            </w:tcBorders>
            <w:hideMark/>
          </w:tcPr>
          <w:p w14:paraId="63DF10EC" w14:textId="77777777" w:rsidR="00663A7B" w:rsidRDefault="00663A7B" w:rsidP="00875A9B">
            <w:pPr>
              <w:pStyle w:val="ad"/>
            </w:pPr>
            <w:r>
              <w:t xml:space="preserve">Зовнішній контроль якості надання медичної допомоги здійснюється органами державної виконавчої влади в межах повноважень, визначених законодавством, зокрема шляхом контролю за дотриманням ліцензійних умов провадження господарської діяльності з медичної практики, </w:t>
            </w:r>
            <w:r>
              <w:rPr>
                <w:shd w:val="clear" w:color="auto" w:fill="F8CAC6"/>
              </w:rPr>
              <w:t>проведення акредитації закладів охорони здоров’я</w:t>
            </w:r>
            <w:r>
              <w:t>, атестації лікарів, молодших спеціалістів з медичною освітою, професіоналів з вищою немедичною освітою, які працюють у системі охорони здоров’я, проведення клініко-експертної оцінки якості та обсягів медичної допомоги.</w:t>
            </w:r>
          </w:p>
        </w:tc>
        <w:tc>
          <w:tcPr>
            <w:tcW w:w="4678" w:type="dxa"/>
            <w:tcBorders>
              <w:top w:val="outset" w:sz="6" w:space="0" w:color="auto"/>
              <w:left w:val="outset" w:sz="6" w:space="0" w:color="auto"/>
              <w:bottom w:val="outset" w:sz="6" w:space="0" w:color="auto"/>
              <w:right w:val="outset" w:sz="6" w:space="0" w:color="auto"/>
            </w:tcBorders>
            <w:hideMark/>
          </w:tcPr>
          <w:p w14:paraId="7F992371" w14:textId="77777777" w:rsidR="00663A7B" w:rsidRDefault="00663A7B" w:rsidP="00875A9B">
            <w:pPr>
              <w:pStyle w:val="ad"/>
            </w:pPr>
            <w:r>
              <w:t>Зовнішній контроль якості надання медичної допомоги здійснюється органами державної виконавчої влади в межах повноважень, визначених законодавством, зокрема шляхом контролю за дотриманням ліцензійних умов провадження господарської діяльності з медичної практики, проведення атестації лікарів, молодших спеціалістів з медичною освітою, професіоналів з вищою немедичною освітою, які працюють у системі охорони здоров’я, проведення клініко-експертної оцінки якості та обсягів медичної допомоги.</w:t>
            </w:r>
          </w:p>
        </w:tc>
      </w:tr>
    </w:tbl>
    <w:p w14:paraId="4391E5C5" w14:textId="77777777" w:rsidR="00663A7B" w:rsidRDefault="00663A7B" w:rsidP="00663A7B">
      <w:pPr>
        <w:pStyle w:val="ad"/>
        <w:rPr>
          <w:rFonts w:eastAsia="Times New Roman"/>
        </w:rPr>
      </w:pPr>
    </w:p>
    <w:p w14:paraId="1C2FD791" w14:textId="77777777" w:rsidR="00D31E9D" w:rsidRDefault="00D31E9D"/>
    <w:sectPr w:rsidR="00D31E9D" w:rsidSect="0066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6E"/>
    <w:rsid w:val="00211F4A"/>
    <w:rsid w:val="00663A7B"/>
    <w:rsid w:val="006C726E"/>
    <w:rsid w:val="00797A86"/>
    <w:rsid w:val="00A71793"/>
    <w:rsid w:val="00D138E7"/>
    <w:rsid w:val="00D31E9D"/>
    <w:rsid w:val="00DD2090"/>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00DA2-CD0F-482B-9247-1EFBDB69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A7B"/>
    <w:pPr>
      <w:spacing w:after="0" w:line="240" w:lineRule="auto"/>
    </w:pPr>
    <w:rPr>
      <w:rFonts w:ascii="Times New Roman" w:eastAsiaTheme="minorEastAsia" w:hAnsi="Times New Roman" w:cs="Times New Roman"/>
      <w:sz w:val="24"/>
      <w:szCs w:val="24"/>
      <w:lang w:eastAsia="uk-UA"/>
      <w14:ligatures w14:val="none"/>
    </w:rPr>
  </w:style>
  <w:style w:type="paragraph" w:styleId="1">
    <w:name w:val="heading 1"/>
    <w:basedOn w:val="a"/>
    <w:next w:val="a"/>
    <w:link w:val="10"/>
    <w:uiPriority w:val="9"/>
    <w:qFormat/>
    <w:rsid w:val="006C726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6C726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6C726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6C726E"/>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14:ligatures w14:val="standardContextual"/>
    </w:rPr>
  </w:style>
  <w:style w:type="paragraph" w:styleId="5">
    <w:name w:val="heading 5"/>
    <w:basedOn w:val="a"/>
    <w:next w:val="a"/>
    <w:link w:val="50"/>
    <w:uiPriority w:val="9"/>
    <w:semiHidden/>
    <w:unhideWhenUsed/>
    <w:qFormat/>
    <w:rsid w:val="006C726E"/>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14:ligatures w14:val="standardContextual"/>
    </w:rPr>
  </w:style>
  <w:style w:type="paragraph" w:styleId="6">
    <w:name w:val="heading 6"/>
    <w:basedOn w:val="a"/>
    <w:next w:val="a"/>
    <w:link w:val="60"/>
    <w:uiPriority w:val="9"/>
    <w:semiHidden/>
    <w:unhideWhenUsed/>
    <w:qFormat/>
    <w:rsid w:val="006C726E"/>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7">
    <w:name w:val="heading 7"/>
    <w:basedOn w:val="a"/>
    <w:next w:val="a"/>
    <w:link w:val="70"/>
    <w:uiPriority w:val="9"/>
    <w:semiHidden/>
    <w:unhideWhenUsed/>
    <w:qFormat/>
    <w:rsid w:val="006C726E"/>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8">
    <w:name w:val="heading 8"/>
    <w:basedOn w:val="a"/>
    <w:next w:val="a"/>
    <w:link w:val="80"/>
    <w:uiPriority w:val="9"/>
    <w:semiHidden/>
    <w:unhideWhenUsed/>
    <w:qFormat/>
    <w:rsid w:val="006C726E"/>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9">
    <w:name w:val="heading 9"/>
    <w:basedOn w:val="a"/>
    <w:next w:val="a"/>
    <w:link w:val="90"/>
    <w:uiPriority w:val="9"/>
    <w:semiHidden/>
    <w:unhideWhenUsed/>
    <w:qFormat/>
    <w:rsid w:val="006C726E"/>
    <w:pPr>
      <w:keepNext/>
      <w:keepLines/>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2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C72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C72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C72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C72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C72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726E"/>
    <w:rPr>
      <w:rFonts w:eastAsiaTheme="majorEastAsia" w:cstheme="majorBidi"/>
      <w:color w:val="595959" w:themeColor="text1" w:themeTint="A6"/>
    </w:rPr>
  </w:style>
  <w:style w:type="character" w:customStyle="1" w:styleId="80">
    <w:name w:val="Заголовок 8 Знак"/>
    <w:basedOn w:val="a0"/>
    <w:link w:val="8"/>
    <w:uiPriority w:val="9"/>
    <w:semiHidden/>
    <w:rsid w:val="006C72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726E"/>
    <w:rPr>
      <w:rFonts w:eastAsiaTheme="majorEastAsia" w:cstheme="majorBidi"/>
      <w:color w:val="272727" w:themeColor="text1" w:themeTint="D8"/>
    </w:rPr>
  </w:style>
  <w:style w:type="paragraph" w:styleId="a3">
    <w:name w:val="Title"/>
    <w:basedOn w:val="a"/>
    <w:next w:val="a"/>
    <w:link w:val="a4"/>
    <w:uiPriority w:val="10"/>
    <w:qFormat/>
    <w:rsid w:val="006C72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6C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26E"/>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6C72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726E"/>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14:ligatures w14:val="standardContextual"/>
    </w:rPr>
  </w:style>
  <w:style w:type="character" w:customStyle="1" w:styleId="22">
    <w:name w:val="Цитата 2 Знак"/>
    <w:basedOn w:val="a0"/>
    <w:link w:val="21"/>
    <w:uiPriority w:val="29"/>
    <w:rsid w:val="006C726E"/>
    <w:rPr>
      <w:i/>
      <w:iCs/>
      <w:color w:val="404040" w:themeColor="text1" w:themeTint="BF"/>
    </w:rPr>
  </w:style>
  <w:style w:type="paragraph" w:styleId="a7">
    <w:name w:val="List Paragraph"/>
    <w:basedOn w:val="a"/>
    <w:uiPriority w:val="34"/>
    <w:qFormat/>
    <w:rsid w:val="006C726E"/>
    <w:pPr>
      <w:spacing w:after="160" w:line="259" w:lineRule="auto"/>
      <w:ind w:left="720"/>
      <w:contextualSpacing/>
    </w:pPr>
    <w:rPr>
      <w:rFonts w:asciiTheme="minorHAnsi" w:eastAsiaTheme="minorHAnsi" w:hAnsiTheme="minorHAnsi" w:cstheme="minorBidi"/>
      <w:sz w:val="22"/>
      <w:szCs w:val="22"/>
      <w:lang w:eastAsia="en-US"/>
      <w14:ligatures w14:val="standardContextual"/>
    </w:rPr>
  </w:style>
  <w:style w:type="character" w:styleId="a8">
    <w:name w:val="Intense Emphasis"/>
    <w:basedOn w:val="a0"/>
    <w:uiPriority w:val="21"/>
    <w:qFormat/>
    <w:rsid w:val="006C726E"/>
    <w:rPr>
      <w:i/>
      <w:iCs/>
      <w:color w:val="2F5496" w:themeColor="accent1" w:themeShade="BF"/>
    </w:rPr>
  </w:style>
  <w:style w:type="paragraph" w:styleId="a9">
    <w:name w:val="Intense Quote"/>
    <w:basedOn w:val="a"/>
    <w:next w:val="a"/>
    <w:link w:val="aa"/>
    <w:uiPriority w:val="30"/>
    <w:qFormat/>
    <w:rsid w:val="006C726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14:ligatures w14:val="standardContextual"/>
    </w:rPr>
  </w:style>
  <w:style w:type="character" w:customStyle="1" w:styleId="aa">
    <w:name w:val="Выделенная цитата Знак"/>
    <w:basedOn w:val="a0"/>
    <w:link w:val="a9"/>
    <w:uiPriority w:val="30"/>
    <w:rsid w:val="006C726E"/>
    <w:rPr>
      <w:i/>
      <w:iCs/>
      <w:color w:val="2F5496" w:themeColor="accent1" w:themeShade="BF"/>
    </w:rPr>
  </w:style>
  <w:style w:type="character" w:styleId="ab">
    <w:name w:val="Intense Reference"/>
    <w:basedOn w:val="a0"/>
    <w:uiPriority w:val="32"/>
    <w:qFormat/>
    <w:rsid w:val="006C726E"/>
    <w:rPr>
      <w:b/>
      <w:bCs/>
      <w:smallCaps/>
      <w:color w:val="2F5496" w:themeColor="accent1" w:themeShade="BF"/>
      <w:spacing w:val="5"/>
    </w:rPr>
  </w:style>
  <w:style w:type="character" w:styleId="ac">
    <w:name w:val="Hyperlink"/>
    <w:basedOn w:val="a0"/>
    <w:uiPriority w:val="99"/>
    <w:semiHidden/>
    <w:unhideWhenUsed/>
    <w:rsid w:val="00663A7B"/>
    <w:rPr>
      <w:color w:val="0000FF"/>
      <w:u w:val="single"/>
    </w:rPr>
  </w:style>
  <w:style w:type="paragraph" w:styleId="ad">
    <w:name w:val="Normal (Web)"/>
    <w:basedOn w:val="a"/>
    <w:uiPriority w:val="99"/>
    <w:semiHidden/>
    <w:unhideWhenUsed/>
    <w:rsid w:val="00663A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expertus.com.ua/law/495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expertus.com.ua/law/47832" TargetMode="External"/><Relationship Id="rId12" Type="http://schemas.openxmlformats.org/officeDocument/2006/relationships/hyperlink" Target="https://med.expertus.com.ua/law/100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expertus.com.ua/law/27260" TargetMode="External"/><Relationship Id="rId11" Type="http://schemas.openxmlformats.org/officeDocument/2006/relationships/hyperlink" Target="https://med.expertus.com.ua/law/46228" TargetMode="External"/><Relationship Id="rId5" Type="http://schemas.openxmlformats.org/officeDocument/2006/relationships/hyperlink" Target="https://med.expertus.com.ua/law/27260" TargetMode="External"/><Relationship Id="rId10" Type="http://schemas.openxmlformats.org/officeDocument/2006/relationships/hyperlink" Target="https://med.expertus.com.ua/law/46228" TargetMode="External"/><Relationship Id="rId4" Type="http://schemas.openxmlformats.org/officeDocument/2006/relationships/hyperlink" Target="https://med.expertus.com.ua/law/10256" TargetMode="External"/><Relationship Id="rId9" Type="http://schemas.openxmlformats.org/officeDocument/2006/relationships/hyperlink" Target="https://med.expertus.com.ua/law/523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5059</Words>
  <Characters>2885</Characters>
  <Application>Microsoft Office Word</Application>
  <DocSecurity>0</DocSecurity>
  <Lines>24</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Купріянова</dc:creator>
  <cp:keywords/>
  <dc:description/>
  <cp:lastModifiedBy>Ольга Купріянова</cp:lastModifiedBy>
  <cp:revision>2</cp:revision>
  <dcterms:created xsi:type="dcterms:W3CDTF">2025-01-28T07:47:00Z</dcterms:created>
  <dcterms:modified xsi:type="dcterms:W3CDTF">2025-01-28T07:48:00Z</dcterms:modified>
</cp:coreProperties>
</file>